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2B" w:rsidRPr="00775162" w:rsidRDefault="0088782B">
      <w:pPr>
        <w:rPr>
          <w:sz w:val="20"/>
          <w:szCs w:val="20"/>
        </w:rPr>
      </w:pPr>
      <w:r w:rsidRPr="00775162">
        <w:rPr>
          <w:sz w:val="20"/>
          <w:szCs w:val="20"/>
        </w:rPr>
        <w:t>Interest Rate/Discount Rate Practice Sheet</w:t>
      </w:r>
    </w:p>
    <w:p w:rsidR="00693E7A" w:rsidRPr="00775162" w:rsidRDefault="00F80425">
      <w:pPr>
        <w:rPr>
          <w:sz w:val="20"/>
          <w:szCs w:val="20"/>
        </w:rPr>
      </w:pPr>
      <w:r w:rsidRPr="00775162">
        <w:rPr>
          <w:sz w:val="20"/>
          <w:szCs w:val="20"/>
        </w:rPr>
        <w:t>Please complete the table</w:t>
      </w:r>
      <w:proofErr w:type="gramStart"/>
      <w:r w:rsidRPr="00775162">
        <w:rPr>
          <w:sz w:val="20"/>
          <w:szCs w:val="20"/>
        </w:rPr>
        <w:t>.</w:t>
      </w:r>
      <w:r w:rsidR="00775162" w:rsidRPr="00775162">
        <w:rPr>
          <w:sz w:val="20"/>
          <w:szCs w:val="20"/>
        </w:rPr>
        <w:t xml:space="preserve"> </w:t>
      </w:r>
      <w:proofErr w:type="gramEnd"/>
      <w:r w:rsidR="00693E7A" w:rsidRPr="00775162">
        <w:rPr>
          <w:sz w:val="20"/>
          <w:szCs w:val="20"/>
        </w:rPr>
        <w:t>* Remember the interest rate and the time period to which it is applied must have consistent units be they daily, semiannually, annually, biennually, etc.</w:t>
      </w:r>
    </w:p>
    <w:tbl>
      <w:tblPr>
        <w:tblStyle w:val="TableGrid"/>
        <w:tblW w:w="0" w:type="auto"/>
        <w:tblLayout w:type="fixed"/>
        <w:tblLook w:val="04A0"/>
      </w:tblPr>
      <w:tblGrid>
        <w:gridCol w:w="2448"/>
        <w:gridCol w:w="1080"/>
        <w:gridCol w:w="1440"/>
        <w:gridCol w:w="1080"/>
        <w:gridCol w:w="810"/>
        <w:gridCol w:w="1260"/>
        <w:gridCol w:w="1440"/>
        <w:gridCol w:w="1440"/>
        <w:gridCol w:w="1260"/>
        <w:gridCol w:w="900"/>
        <w:gridCol w:w="1080"/>
      </w:tblGrid>
      <w:tr w:rsidR="00775162" w:rsidRPr="00775162" w:rsidTr="00775162">
        <w:tc>
          <w:tcPr>
            <w:tcW w:w="2448" w:type="dxa"/>
          </w:tcPr>
          <w:p w:rsidR="00775162" w:rsidRPr="00775162" w:rsidRDefault="00775162" w:rsidP="00B2434A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(1)</w:t>
            </w:r>
          </w:p>
          <w:p w:rsidR="00775162" w:rsidRPr="00775162" w:rsidRDefault="00775162">
            <w:pPr>
              <w:rPr>
                <w:sz w:val="20"/>
                <w:szCs w:val="20"/>
              </w:rPr>
            </w:pPr>
          </w:p>
          <w:p w:rsidR="00775162" w:rsidRPr="00775162" w:rsidRDefault="00775162">
            <w:pPr>
              <w:rPr>
                <w:sz w:val="20"/>
                <w:szCs w:val="20"/>
              </w:rPr>
            </w:pPr>
          </w:p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Rate Description</w:t>
            </w:r>
          </w:p>
        </w:tc>
        <w:tc>
          <w:tcPr>
            <w:tcW w:w="1080" w:type="dxa"/>
          </w:tcPr>
          <w:p w:rsidR="00775162" w:rsidRPr="00775162" w:rsidRDefault="00775162" w:rsidP="00B2434A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(2)</w:t>
            </w:r>
          </w:p>
          <w:p w:rsidR="00775162" w:rsidRPr="00775162" w:rsidRDefault="00775162">
            <w:pPr>
              <w:rPr>
                <w:sz w:val="20"/>
                <w:szCs w:val="20"/>
              </w:rPr>
            </w:pPr>
          </w:p>
          <w:p w:rsidR="00775162" w:rsidRPr="00775162" w:rsidRDefault="00775162">
            <w:pPr>
              <w:rPr>
                <w:sz w:val="20"/>
                <w:szCs w:val="20"/>
              </w:rPr>
            </w:pPr>
          </w:p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Rate</w:t>
            </w:r>
          </w:p>
        </w:tc>
        <w:tc>
          <w:tcPr>
            <w:tcW w:w="1440" w:type="dxa"/>
          </w:tcPr>
          <w:p w:rsidR="00775162" w:rsidRPr="00775162" w:rsidRDefault="00775162" w:rsidP="00B2434A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(3)</w:t>
            </w:r>
          </w:p>
          <w:p w:rsidR="00775162" w:rsidRPr="00775162" w:rsidRDefault="00775162" w:rsidP="002733E8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Date or Period  Over Which Rate is Applied</w:t>
            </w:r>
          </w:p>
        </w:tc>
        <w:tc>
          <w:tcPr>
            <w:tcW w:w="1080" w:type="dxa"/>
          </w:tcPr>
          <w:p w:rsidR="00775162" w:rsidRPr="00775162" w:rsidRDefault="00775162" w:rsidP="00B2434A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(4) &amp;</w:t>
            </w:r>
          </w:p>
          <w:p w:rsidR="00775162" w:rsidRPr="00775162" w:rsidRDefault="00775162" w:rsidP="006170C6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Period of Effective Rate</w:t>
            </w:r>
          </w:p>
        </w:tc>
        <w:tc>
          <w:tcPr>
            <w:tcW w:w="810" w:type="dxa"/>
          </w:tcPr>
          <w:p w:rsidR="00775162" w:rsidRPr="00775162" w:rsidRDefault="00775162" w:rsidP="003E782B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(5)&amp;&amp;</w:t>
            </w:r>
          </w:p>
          <w:p w:rsidR="00775162" w:rsidRPr="00775162" w:rsidRDefault="00775162" w:rsidP="003E782B">
            <w:pPr>
              <w:rPr>
                <w:sz w:val="20"/>
                <w:szCs w:val="20"/>
              </w:rPr>
            </w:pPr>
          </w:p>
          <w:p w:rsidR="00775162" w:rsidRPr="00775162" w:rsidRDefault="00775162" w:rsidP="003E782B">
            <w:pPr>
              <w:rPr>
                <w:sz w:val="20"/>
                <w:szCs w:val="20"/>
              </w:rPr>
            </w:pPr>
          </w:p>
          <w:p w:rsidR="00775162" w:rsidRPr="00775162" w:rsidRDefault="00775162" w:rsidP="003E782B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 xml:space="preserve">m </w:t>
            </w:r>
          </w:p>
        </w:tc>
        <w:tc>
          <w:tcPr>
            <w:tcW w:w="1260" w:type="dxa"/>
          </w:tcPr>
          <w:p w:rsidR="00775162" w:rsidRPr="00775162" w:rsidRDefault="00775162" w:rsidP="00B2434A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(6)</w:t>
            </w:r>
          </w:p>
          <w:p w:rsidR="00775162" w:rsidRPr="00775162" w:rsidRDefault="00775162" w:rsidP="005F5AD4">
            <w:pPr>
              <w:rPr>
                <w:sz w:val="20"/>
                <w:szCs w:val="20"/>
              </w:rPr>
            </w:pPr>
          </w:p>
          <w:p w:rsidR="00775162" w:rsidRDefault="00775162" w:rsidP="005F5AD4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 xml:space="preserve">Periodic Rate = j </w:t>
            </w:r>
          </w:p>
          <w:p w:rsidR="00775162" w:rsidRPr="00775162" w:rsidRDefault="00775162" w:rsidP="005F5AD4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= (2) / m</w:t>
            </w:r>
          </w:p>
        </w:tc>
        <w:tc>
          <w:tcPr>
            <w:tcW w:w="1440" w:type="dxa"/>
          </w:tcPr>
          <w:p w:rsidR="00775162" w:rsidRPr="00775162" w:rsidRDefault="00775162" w:rsidP="00B2434A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(7) &amp;&amp;&amp;</w:t>
            </w:r>
          </w:p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 xml:space="preserve">Time Periods (t) </w:t>
            </w:r>
          </w:p>
          <w:p w:rsidR="00775162" w:rsidRPr="00775162" w:rsidRDefault="00775162">
            <w:pPr>
              <w:rPr>
                <w:sz w:val="20"/>
                <w:szCs w:val="20"/>
              </w:rPr>
            </w:pPr>
          </w:p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 xml:space="preserve"> # and length</w:t>
            </w:r>
          </w:p>
        </w:tc>
        <w:tc>
          <w:tcPr>
            <w:tcW w:w="1440" w:type="dxa"/>
          </w:tcPr>
          <w:p w:rsidR="00775162" w:rsidRPr="00775162" w:rsidRDefault="00775162" w:rsidP="00B2434A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(8)</w:t>
            </w:r>
          </w:p>
          <w:p w:rsidR="00775162" w:rsidRPr="00775162" w:rsidRDefault="00775162">
            <w:pPr>
              <w:rPr>
                <w:sz w:val="20"/>
                <w:szCs w:val="20"/>
              </w:rPr>
            </w:pPr>
          </w:p>
          <w:p w:rsidR="00775162" w:rsidRPr="00775162" w:rsidRDefault="00775162" w:rsidP="009845A3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Accumulated Value of $1</w:t>
            </w:r>
          </w:p>
          <w:p w:rsidR="00775162" w:rsidRPr="00775162" w:rsidRDefault="00775162" w:rsidP="009845A3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= (1+j)</w:t>
            </w:r>
            <w:r w:rsidRPr="00775162">
              <w:rPr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1260" w:type="dxa"/>
          </w:tcPr>
          <w:p w:rsidR="00775162" w:rsidRPr="00775162" w:rsidRDefault="00775162" w:rsidP="00B2434A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(9)</w:t>
            </w:r>
          </w:p>
          <w:p w:rsidR="00775162" w:rsidRPr="00775162" w:rsidRDefault="00775162">
            <w:pPr>
              <w:rPr>
                <w:sz w:val="20"/>
                <w:szCs w:val="20"/>
              </w:rPr>
            </w:pPr>
          </w:p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 xml:space="preserve">Present Value of $1 </w:t>
            </w:r>
          </w:p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= 1 / (1+j)</w:t>
            </w:r>
            <w:r w:rsidRPr="00775162">
              <w:rPr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900" w:type="dxa"/>
          </w:tcPr>
          <w:p w:rsidR="00775162" w:rsidRPr="00775162" w:rsidRDefault="00775162" w:rsidP="00B2434A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(10)</w:t>
            </w:r>
          </w:p>
          <w:p w:rsidR="00775162" w:rsidRPr="00775162" w:rsidRDefault="00775162" w:rsidP="00775162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 xml:space="preserve">Number of Time Periods in a Year = 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1080" w:type="dxa"/>
          </w:tcPr>
          <w:p w:rsidR="00775162" w:rsidRPr="00775162" w:rsidRDefault="00775162" w:rsidP="00B2434A">
            <w:pPr>
              <w:jc w:val="center"/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(11)</w:t>
            </w:r>
          </w:p>
          <w:p w:rsid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Equivalent Annual Effective Rate</w:t>
            </w:r>
          </w:p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= (1+j)</w:t>
            </w:r>
            <w:r>
              <w:rPr>
                <w:sz w:val="20"/>
                <w:szCs w:val="20"/>
                <w:vertAlign w:val="superscript"/>
              </w:rPr>
              <w:t>u</w:t>
            </w:r>
            <w:r>
              <w:rPr>
                <w:sz w:val="20"/>
                <w:szCs w:val="20"/>
              </w:rPr>
              <w:t xml:space="preserve"> -1</w:t>
            </w:r>
          </w:p>
        </w:tc>
      </w:tr>
      <w:tr w:rsidR="00775162" w:rsidRPr="00775162" w:rsidTr="00775162">
        <w:tc>
          <w:tcPr>
            <w:tcW w:w="2448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Annual Effective Interest Rate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.0525</w:t>
            </w:r>
          </w:p>
        </w:tc>
        <w:tc>
          <w:tcPr>
            <w:tcW w:w="1440" w:type="dxa"/>
          </w:tcPr>
          <w:p w:rsidR="00775162" w:rsidRPr="00775162" w:rsidRDefault="00775162" w:rsidP="002733E8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3 Years</w:t>
            </w:r>
          </w:p>
        </w:tc>
        <w:tc>
          <w:tcPr>
            <w:tcW w:w="1080" w:type="dxa"/>
          </w:tcPr>
          <w:p w:rsidR="00775162" w:rsidRPr="00775162" w:rsidRDefault="00775162" w:rsidP="006170C6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1 Year</w:t>
            </w:r>
          </w:p>
        </w:tc>
        <w:tc>
          <w:tcPr>
            <w:tcW w:w="810" w:type="dxa"/>
          </w:tcPr>
          <w:p w:rsidR="00775162" w:rsidRPr="00775162" w:rsidRDefault="00775162" w:rsidP="003E782B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.0525</w:t>
            </w:r>
          </w:p>
        </w:tc>
        <w:tc>
          <w:tcPr>
            <w:tcW w:w="144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 xml:space="preserve">3 annual </w:t>
            </w:r>
          </w:p>
        </w:tc>
        <w:tc>
          <w:tcPr>
            <w:tcW w:w="144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1.165913453</w:t>
            </w:r>
          </w:p>
        </w:tc>
        <w:tc>
          <w:tcPr>
            <w:tcW w:w="126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.857696596</w:t>
            </w:r>
          </w:p>
        </w:tc>
        <w:tc>
          <w:tcPr>
            <w:tcW w:w="90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.0525</w:t>
            </w:r>
          </w:p>
        </w:tc>
      </w:tr>
      <w:tr w:rsidR="00775162" w:rsidRPr="00775162" w:rsidTr="00775162">
        <w:tc>
          <w:tcPr>
            <w:tcW w:w="2448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Nominal Annual Interest Rate Compounded Quarterly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.0746</w:t>
            </w:r>
          </w:p>
        </w:tc>
        <w:tc>
          <w:tcPr>
            <w:tcW w:w="144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10 Semiannual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1 Quarter</w:t>
            </w:r>
          </w:p>
        </w:tc>
        <w:tc>
          <w:tcPr>
            <w:tcW w:w="810" w:type="dxa"/>
          </w:tcPr>
          <w:p w:rsidR="00775162" w:rsidRPr="00775162" w:rsidRDefault="00775162" w:rsidP="003E782B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.01865</w:t>
            </w:r>
          </w:p>
        </w:tc>
        <w:tc>
          <w:tcPr>
            <w:tcW w:w="144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Quarters</w:t>
            </w:r>
            <w:r w:rsidR="00775162" w:rsidRPr="007751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1.447104</w:t>
            </w:r>
          </w:p>
        </w:tc>
        <w:tc>
          <w:tcPr>
            <w:tcW w:w="126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.691035</w:t>
            </w:r>
          </w:p>
        </w:tc>
        <w:tc>
          <w:tcPr>
            <w:tcW w:w="90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.076713</w:t>
            </w:r>
          </w:p>
        </w:tc>
      </w:tr>
      <w:tr w:rsidR="00775162" w:rsidRPr="00775162" w:rsidTr="00775162">
        <w:tc>
          <w:tcPr>
            <w:tcW w:w="2448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Monthly Effective Interest Rate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.005</w:t>
            </w:r>
          </w:p>
        </w:tc>
        <w:tc>
          <w:tcPr>
            <w:tcW w:w="144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1-1/4 years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Month</w:t>
            </w:r>
          </w:p>
        </w:tc>
        <w:tc>
          <w:tcPr>
            <w:tcW w:w="81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.005</w:t>
            </w:r>
          </w:p>
        </w:tc>
        <w:tc>
          <w:tcPr>
            <w:tcW w:w="144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Months</w:t>
            </w:r>
          </w:p>
        </w:tc>
        <w:tc>
          <w:tcPr>
            <w:tcW w:w="144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1.0776827</w:t>
            </w:r>
          </w:p>
        </w:tc>
        <w:tc>
          <w:tcPr>
            <w:tcW w:w="126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.927917</w:t>
            </w:r>
          </w:p>
        </w:tc>
        <w:tc>
          <w:tcPr>
            <w:tcW w:w="90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.061678</w:t>
            </w:r>
          </w:p>
        </w:tc>
      </w:tr>
      <w:tr w:rsidR="00775162" w:rsidRPr="00775162" w:rsidTr="00775162">
        <w:tc>
          <w:tcPr>
            <w:tcW w:w="2448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Nominal Annual Interest Rate Compounded Daily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.0365</w:t>
            </w:r>
          </w:p>
        </w:tc>
        <w:tc>
          <w:tcPr>
            <w:tcW w:w="144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40 days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81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26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.0001</w:t>
            </w:r>
          </w:p>
        </w:tc>
        <w:tc>
          <w:tcPr>
            <w:tcW w:w="144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Days</w:t>
            </w:r>
          </w:p>
        </w:tc>
        <w:tc>
          <w:tcPr>
            <w:tcW w:w="144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1.0040078</w:t>
            </w:r>
          </w:p>
        </w:tc>
        <w:tc>
          <w:tcPr>
            <w:tcW w:w="126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.996008</w:t>
            </w:r>
          </w:p>
        </w:tc>
        <w:tc>
          <w:tcPr>
            <w:tcW w:w="90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08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.037172</w:t>
            </w:r>
          </w:p>
        </w:tc>
      </w:tr>
      <w:tr w:rsidR="00775162" w:rsidRPr="00775162" w:rsidTr="00775162">
        <w:tc>
          <w:tcPr>
            <w:tcW w:w="2448" w:type="dxa"/>
          </w:tcPr>
          <w:p w:rsidR="00775162" w:rsidRPr="00775162" w:rsidRDefault="00775162" w:rsidP="005D7F5B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Daily Effective Interest Rate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.0001</w:t>
            </w:r>
          </w:p>
        </w:tc>
        <w:tc>
          <w:tcPr>
            <w:tcW w:w="144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40 days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1Day</w:t>
            </w:r>
          </w:p>
        </w:tc>
        <w:tc>
          <w:tcPr>
            <w:tcW w:w="81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.0001</w:t>
            </w:r>
          </w:p>
        </w:tc>
        <w:tc>
          <w:tcPr>
            <w:tcW w:w="144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Days</w:t>
            </w:r>
          </w:p>
        </w:tc>
        <w:tc>
          <w:tcPr>
            <w:tcW w:w="144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1.0040078</w:t>
            </w:r>
          </w:p>
        </w:tc>
        <w:tc>
          <w:tcPr>
            <w:tcW w:w="126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.996008</w:t>
            </w:r>
          </w:p>
        </w:tc>
        <w:tc>
          <w:tcPr>
            <w:tcW w:w="90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08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.037172</w:t>
            </w:r>
          </w:p>
        </w:tc>
      </w:tr>
      <w:tr w:rsidR="00775162" w:rsidRPr="00775162" w:rsidTr="00775162">
        <w:tc>
          <w:tcPr>
            <w:tcW w:w="2448" w:type="dxa"/>
          </w:tcPr>
          <w:p w:rsidR="00775162" w:rsidRPr="00775162" w:rsidRDefault="00775162" w:rsidP="005D7F5B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Nominal Semiannual Interest Rate Compounded Monthly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.0817</w:t>
            </w:r>
          </w:p>
        </w:tc>
        <w:tc>
          <w:tcPr>
            <w:tcW w:w="144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10 Quarters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Month</w:t>
            </w:r>
          </w:p>
        </w:tc>
        <w:tc>
          <w:tcPr>
            <w:tcW w:w="81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.013616667</w:t>
            </w:r>
          </w:p>
        </w:tc>
        <w:tc>
          <w:tcPr>
            <w:tcW w:w="144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Months</w:t>
            </w:r>
          </w:p>
        </w:tc>
        <w:tc>
          <w:tcPr>
            <w:tcW w:w="144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1.500418</w:t>
            </w:r>
          </w:p>
        </w:tc>
        <w:tc>
          <w:tcPr>
            <w:tcW w:w="126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.666481</w:t>
            </w:r>
          </w:p>
        </w:tc>
        <w:tc>
          <w:tcPr>
            <w:tcW w:w="90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.176210</w:t>
            </w:r>
          </w:p>
        </w:tc>
      </w:tr>
      <w:tr w:rsidR="00775162" w:rsidRPr="00775162" w:rsidTr="00775162">
        <w:tc>
          <w:tcPr>
            <w:tcW w:w="2448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Nominal Annual Interest Rate Compounded Every 2 Years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.10</w:t>
            </w:r>
          </w:p>
        </w:tc>
        <w:tc>
          <w:tcPr>
            <w:tcW w:w="144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4 years</w:t>
            </w:r>
          </w:p>
        </w:tc>
        <w:tc>
          <w:tcPr>
            <w:tcW w:w="108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81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</w:t>
            </w:r>
          </w:p>
        </w:tc>
        <w:tc>
          <w:tcPr>
            <w:tcW w:w="144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2-Year Periods</w:t>
            </w:r>
          </w:p>
        </w:tc>
        <w:tc>
          <w:tcPr>
            <w:tcW w:w="144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</w:p>
        </w:tc>
        <w:tc>
          <w:tcPr>
            <w:tcW w:w="126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.694444</w:t>
            </w:r>
          </w:p>
        </w:tc>
        <w:tc>
          <w:tcPr>
            <w:tcW w:w="90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.095445</w:t>
            </w:r>
          </w:p>
        </w:tc>
      </w:tr>
      <w:tr w:rsidR="00775162" w:rsidRPr="00775162" w:rsidTr="00775162">
        <w:tc>
          <w:tcPr>
            <w:tcW w:w="2448" w:type="dxa"/>
          </w:tcPr>
          <w:p w:rsidR="00775162" w:rsidRPr="00775162" w:rsidRDefault="00775162">
            <w:pPr>
              <w:rPr>
                <w:rFonts w:ascii="Calibri" w:eastAsia="Calibri" w:hAnsi="Calibri" w:cs="Courier New"/>
                <w:sz w:val="20"/>
                <w:szCs w:val="20"/>
              </w:rPr>
            </w:pPr>
            <w:r w:rsidRPr="00775162">
              <w:rPr>
                <w:rFonts w:cs="Courier New"/>
                <w:sz w:val="20"/>
                <w:szCs w:val="20"/>
              </w:rPr>
              <w:t xml:space="preserve"> 6</w:t>
            </w:r>
            <w:r w:rsidRPr="00775162">
              <w:rPr>
                <w:rFonts w:ascii="Calibri" w:eastAsia="Calibri" w:hAnsi="Calibri" w:cs="Courier New"/>
                <w:sz w:val="20"/>
                <w:szCs w:val="20"/>
              </w:rPr>
              <w:t>-month interest rate compounded every 6 months</w:t>
            </w:r>
          </w:p>
        </w:tc>
        <w:tc>
          <w:tcPr>
            <w:tcW w:w="1080" w:type="dxa"/>
          </w:tcPr>
          <w:p w:rsidR="00775162" w:rsidRPr="00775162" w:rsidRDefault="00775162" w:rsidP="00F80425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.02</w:t>
            </w:r>
          </w:p>
        </w:tc>
        <w:tc>
          <w:tcPr>
            <w:tcW w:w="1440" w:type="dxa"/>
          </w:tcPr>
          <w:p w:rsidR="00775162" w:rsidRPr="00775162" w:rsidRDefault="00775162">
            <w:pPr>
              <w:rPr>
                <w:sz w:val="20"/>
                <w:szCs w:val="20"/>
              </w:rPr>
            </w:pPr>
            <w:r w:rsidRPr="00775162">
              <w:rPr>
                <w:sz w:val="20"/>
                <w:szCs w:val="20"/>
              </w:rPr>
              <w:t>10 years</w:t>
            </w:r>
          </w:p>
        </w:tc>
        <w:tc>
          <w:tcPr>
            <w:tcW w:w="108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Months</w:t>
            </w:r>
          </w:p>
        </w:tc>
        <w:tc>
          <w:tcPr>
            <w:tcW w:w="81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1440" w:type="dxa"/>
          </w:tcPr>
          <w:p w:rsidR="00775162" w:rsidRPr="00775162" w:rsidRDefault="0083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Semiannuals</w:t>
            </w:r>
          </w:p>
        </w:tc>
        <w:tc>
          <w:tcPr>
            <w:tcW w:w="144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1.485947</w:t>
            </w:r>
          </w:p>
        </w:tc>
        <w:tc>
          <w:tcPr>
            <w:tcW w:w="126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.672971</w:t>
            </w:r>
          </w:p>
        </w:tc>
        <w:tc>
          <w:tcPr>
            <w:tcW w:w="90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75162" w:rsidRPr="00775162" w:rsidRDefault="007F6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.0404</w:t>
            </w:r>
          </w:p>
        </w:tc>
      </w:tr>
    </w:tbl>
    <w:p w:rsidR="00775162" w:rsidRPr="00775162" w:rsidRDefault="00775162">
      <w:pPr>
        <w:rPr>
          <w:sz w:val="20"/>
          <w:szCs w:val="20"/>
        </w:rPr>
      </w:pPr>
    </w:p>
    <w:p w:rsidR="005F5AD4" w:rsidRPr="00775162" w:rsidRDefault="005F5AD4">
      <w:pPr>
        <w:rPr>
          <w:sz w:val="20"/>
          <w:szCs w:val="20"/>
        </w:rPr>
      </w:pPr>
      <w:proofErr w:type="gramStart"/>
      <w:r w:rsidRPr="00775162">
        <w:rPr>
          <w:sz w:val="20"/>
          <w:szCs w:val="20"/>
        </w:rPr>
        <w:t>&amp;  Period</w:t>
      </w:r>
      <w:proofErr w:type="gramEnd"/>
      <w:r w:rsidRPr="00775162">
        <w:rPr>
          <w:sz w:val="20"/>
          <w:szCs w:val="20"/>
        </w:rPr>
        <w:t xml:space="preserve"> of Effective Rate will generally be the compounding period if a Nominal Rate and if an Effective Rate the time period of the effective rate.</w:t>
      </w:r>
    </w:p>
    <w:p w:rsidR="005F5AD4" w:rsidRPr="00775162" w:rsidRDefault="005F5AD4">
      <w:pPr>
        <w:rPr>
          <w:sz w:val="20"/>
          <w:szCs w:val="20"/>
        </w:rPr>
      </w:pPr>
      <w:r w:rsidRPr="00775162">
        <w:rPr>
          <w:sz w:val="20"/>
          <w:szCs w:val="20"/>
        </w:rPr>
        <w:t>&amp;</w:t>
      </w:r>
      <w:proofErr w:type="gramStart"/>
      <w:r w:rsidRPr="00775162">
        <w:rPr>
          <w:sz w:val="20"/>
          <w:szCs w:val="20"/>
        </w:rPr>
        <w:t>&amp;  m</w:t>
      </w:r>
      <w:proofErr w:type="gramEnd"/>
      <w:r w:rsidRPr="00775162">
        <w:rPr>
          <w:sz w:val="20"/>
          <w:szCs w:val="20"/>
        </w:rPr>
        <w:t xml:space="preserve"> = the number of times the "period of effective rate" in column 4 occurs in the period of the stated rate.  If the rate </w:t>
      </w:r>
      <w:proofErr w:type="gramStart"/>
      <w:r w:rsidRPr="00775162">
        <w:rPr>
          <w:sz w:val="20"/>
          <w:szCs w:val="20"/>
        </w:rPr>
        <w:t>is compounded</w:t>
      </w:r>
      <w:proofErr w:type="gramEnd"/>
      <w:r w:rsidRPr="00775162">
        <w:rPr>
          <w:sz w:val="20"/>
          <w:szCs w:val="20"/>
        </w:rPr>
        <w:t xml:space="preserve"> monthly, the period of effective rate is monthly.  If the stated rate is then "Nominal Semiannual Interest Rate", then there a</w:t>
      </w:r>
      <w:r w:rsidR="00775162" w:rsidRPr="00775162">
        <w:rPr>
          <w:sz w:val="20"/>
          <w:szCs w:val="20"/>
        </w:rPr>
        <w:t>re</w:t>
      </w:r>
      <w:r w:rsidRPr="00775162">
        <w:rPr>
          <w:sz w:val="20"/>
          <w:szCs w:val="20"/>
        </w:rPr>
        <w:t xml:space="preserve"> </w:t>
      </w:r>
      <w:proofErr w:type="gramStart"/>
      <w:r w:rsidRPr="00775162">
        <w:rPr>
          <w:sz w:val="20"/>
          <w:szCs w:val="20"/>
        </w:rPr>
        <w:t>6</w:t>
      </w:r>
      <w:proofErr w:type="gramEnd"/>
      <w:r w:rsidRPr="00775162">
        <w:rPr>
          <w:sz w:val="20"/>
          <w:szCs w:val="20"/>
        </w:rPr>
        <w:t xml:space="preserve"> </w:t>
      </w:r>
      <w:proofErr w:type="spellStart"/>
      <w:r w:rsidRPr="00775162">
        <w:rPr>
          <w:sz w:val="20"/>
          <w:szCs w:val="20"/>
        </w:rPr>
        <w:t>monthlys</w:t>
      </w:r>
      <w:proofErr w:type="spellEnd"/>
      <w:r w:rsidRPr="00775162">
        <w:rPr>
          <w:sz w:val="20"/>
          <w:szCs w:val="20"/>
        </w:rPr>
        <w:t xml:space="preserve"> in a semiannual, so m=6.</w:t>
      </w:r>
    </w:p>
    <w:p w:rsidR="00DB6D70" w:rsidRPr="00775162" w:rsidRDefault="00DB6D70">
      <w:pPr>
        <w:rPr>
          <w:sz w:val="20"/>
          <w:szCs w:val="20"/>
        </w:rPr>
      </w:pPr>
      <w:r w:rsidRPr="00775162">
        <w:rPr>
          <w:sz w:val="20"/>
          <w:szCs w:val="20"/>
        </w:rPr>
        <w:t>&amp;&amp;</w:t>
      </w:r>
      <w:proofErr w:type="gramStart"/>
      <w:r w:rsidRPr="00775162">
        <w:rPr>
          <w:sz w:val="20"/>
          <w:szCs w:val="20"/>
        </w:rPr>
        <w:t>&amp;  How</w:t>
      </w:r>
      <w:proofErr w:type="gramEnd"/>
      <w:r w:rsidRPr="00775162">
        <w:rPr>
          <w:sz w:val="20"/>
          <w:szCs w:val="20"/>
        </w:rPr>
        <w:t xml:space="preserve"> many time periods of column 4 are there in the time period in column 3?  If column 4 is "quarterly" and column 3 is "10 semiannual periods", then there are </w:t>
      </w:r>
      <w:proofErr w:type="gramStart"/>
      <w:r w:rsidRPr="00775162">
        <w:rPr>
          <w:sz w:val="20"/>
          <w:szCs w:val="20"/>
        </w:rPr>
        <w:t>2</w:t>
      </w:r>
      <w:proofErr w:type="gramEnd"/>
      <w:r w:rsidRPr="00775162">
        <w:rPr>
          <w:sz w:val="20"/>
          <w:szCs w:val="20"/>
        </w:rPr>
        <w:t xml:space="preserve"> quarterly periods in a semiannual, and therefore 2*10 = 20 quarters in 10 semiannual periods.</w:t>
      </w:r>
    </w:p>
    <w:sectPr w:rsidR="00DB6D70" w:rsidRPr="00775162" w:rsidSect="00775162">
      <w:pgSz w:w="15840" w:h="12240" w:orient="landscape"/>
      <w:pgMar w:top="720" w:right="432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782B"/>
    <w:rsid w:val="001972BC"/>
    <w:rsid w:val="00276FC7"/>
    <w:rsid w:val="00294F4D"/>
    <w:rsid w:val="004A6698"/>
    <w:rsid w:val="0052010D"/>
    <w:rsid w:val="005D7F5B"/>
    <w:rsid w:val="005F5AD4"/>
    <w:rsid w:val="00693E7A"/>
    <w:rsid w:val="00756007"/>
    <w:rsid w:val="00775162"/>
    <w:rsid w:val="007756B2"/>
    <w:rsid w:val="007B1445"/>
    <w:rsid w:val="007F6964"/>
    <w:rsid w:val="00815D81"/>
    <w:rsid w:val="00832978"/>
    <w:rsid w:val="00854E48"/>
    <w:rsid w:val="0088782B"/>
    <w:rsid w:val="009845A3"/>
    <w:rsid w:val="00B2434A"/>
    <w:rsid w:val="00B43EDB"/>
    <w:rsid w:val="00BC7240"/>
    <w:rsid w:val="00C93A5D"/>
    <w:rsid w:val="00DB6D70"/>
    <w:rsid w:val="00E005D4"/>
    <w:rsid w:val="00E21861"/>
    <w:rsid w:val="00E2704E"/>
    <w:rsid w:val="00E50C1A"/>
    <w:rsid w:val="00E56810"/>
    <w:rsid w:val="00EB5199"/>
    <w:rsid w:val="00F109DC"/>
    <w:rsid w:val="00F8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2</cp:revision>
  <cp:lastPrinted>2013-01-08T18:26:00Z</cp:lastPrinted>
  <dcterms:created xsi:type="dcterms:W3CDTF">2015-03-31T19:52:00Z</dcterms:created>
  <dcterms:modified xsi:type="dcterms:W3CDTF">2015-03-31T19:52:00Z</dcterms:modified>
</cp:coreProperties>
</file>